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福建省农村公路养护资金管理办法</w:t>
      </w:r>
    </w:p>
    <w:p>
      <w:pPr>
        <w:spacing w:before="287" w:beforeLines="50" w:after="287" w:afterLines="50" w:line="590" w:lineRule="exact"/>
        <w:ind w:firstLine="0" w:firstLineChars="0"/>
        <w:jc w:val="center"/>
        <w:rPr>
          <w:rFonts w:hint="eastAsia" w:ascii="黑体" w:hAnsi="黑体" w:eastAsia="黑体" w:cs="黑体"/>
          <w:bCs/>
          <w:szCs w:val="32"/>
        </w:rPr>
      </w:pPr>
      <w:r>
        <w:rPr>
          <w:rFonts w:hint="eastAsia" w:ascii="黑体" w:hAnsi="黑体" w:eastAsia="黑体" w:cs="黑体"/>
          <w:bCs/>
          <w:szCs w:val="32"/>
        </w:rPr>
        <w:t>第一章  总  则</w:t>
      </w:r>
    </w:p>
    <w:p>
      <w:pPr>
        <w:numPr>
          <w:ilvl w:val="0"/>
          <w:numId w:val="1"/>
        </w:numPr>
        <w:spacing w:line="620" w:lineRule="exact"/>
        <w:ind w:firstLine="624"/>
        <w:rPr>
          <w:rFonts w:hint="eastAsia" w:ascii="仿宋_GB2312" w:hAnsi="仿宋_GB2312" w:cs="仿宋_GB2312"/>
          <w:szCs w:val="32"/>
        </w:rPr>
      </w:pPr>
      <w:r>
        <w:rPr>
          <w:rFonts w:hint="eastAsia" w:ascii="仿宋_GB2312" w:hAnsi="仿宋_GB2312" w:cs="仿宋_GB2312"/>
          <w:szCs w:val="32"/>
        </w:rPr>
        <w:t>为加强我省农村公路养护，规范农村公路养护资金使用和管理，切实发挥资金使用效益，推进“四好农村路”建设，根据国务院办公厅《关于深化农村公路管理养护体制改革的意见》（国办发〔2019〕45号）、交通运输部财政部《贯彻落实&lt;国务院办公厅关于深化农村公路管理养护体制改革的意见&gt;的通知》（交公路发〔2020〕26号）、省政府《关于进一步创新农村公路管理体制机制的意见》（闽政〔2017〕50号）、省政府办公厅《关于印发福建省深化农村公路管理体制改革 推动“四好农村路”高质量发展实施方案的通知》（闽政办〔2020〕1号）等规定，制定本办法。</w:t>
      </w:r>
    </w:p>
    <w:p>
      <w:pPr>
        <w:numPr>
          <w:ilvl w:val="0"/>
          <w:numId w:val="1"/>
        </w:numPr>
        <w:spacing w:line="620" w:lineRule="exact"/>
        <w:ind w:firstLine="624"/>
        <w:rPr>
          <w:szCs w:val="32"/>
        </w:rPr>
      </w:pPr>
      <w:r>
        <w:rPr>
          <w:rFonts w:hint="eastAsia"/>
          <w:szCs w:val="32"/>
        </w:rPr>
        <w:t>本办法所指的农村公路为省级公路统计年报确认的县道、乡道、村道及其沿线附属设施，包括公路桥梁、隧道和渡口。本办法适用于农村公路养护资金的筹集、拨付、使用和监管等工作。</w:t>
      </w:r>
    </w:p>
    <w:p>
      <w:pPr>
        <w:numPr>
          <w:ilvl w:val="0"/>
          <w:numId w:val="1"/>
        </w:numPr>
        <w:spacing w:line="620" w:lineRule="exact"/>
        <w:ind w:firstLine="624"/>
        <w:rPr>
          <w:rFonts w:hint="eastAsia" w:ascii="仿宋_GB2312" w:hAnsi="仿宋_GB2312" w:cs="仿宋_GB2312"/>
          <w:szCs w:val="32"/>
        </w:rPr>
      </w:pPr>
      <w:r>
        <w:rPr>
          <w:rFonts w:hint="eastAsia" w:ascii="仿宋_GB2312" w:hAnsi="仿宋_GB2312" w:cs="仿宋_GB2312"/>
          <w:szCs w:val="32"/>
        </w:rPr>
        <w:t>本办法所称养护资金包括但不限于：</w:t>
      </w:r>
    </w:p>
    <w:p>
      <w:pPr>
        <w:spacing w:line="620" w:lineRule="exact"/>
        <w:ind w:firstLine="624"/>
        <w:rPr>
          <w:rFonts w:hint="eastAsia" w:ascii="仿宋_GB2312" w:hAnsi="仿宋_GB2312" w:cs="仿宋_GB2312"/>
          <w:szCs w:val="32"/>
        </w:rPr>
      </w:pPr>
      <w:r>
        <w:rPr>
          <w:rFonts w:hint="eastAsia" w:ascii="仿宋_GB2312" w:hAnsi="仿宋_GB2312" w:cs="仿宋_GB2312"/>
          <w:szCs w:val="32"/>
        </w:rPr>
        <w:t>1.中央补助农村公路养护专项资金；</w:t>
      </w:r>
    </w:p>
    <w:p>
      <w:pPr>
        <w:spacing w:line="620" w:lineRule="exact"/>
        <w:ind w:firstLine="624"/>
        <w:rPr>
          <w:rFonts w:hint="eastAsia" w:ascii="仿宋_GB2312" w:hAnsi="仿宋_GB2312" w:cs="仿宋_GB2312"/>
          <w:szCs w:val="32"/>
        </w:rPr>
      </w:pPr>
      <w:r>
        <w:rPr>
          <w:rFonts w:hint="eastAsia" w:ascii="仿宋_GB2312" w:hAnsi="仿宋_GB2312" w:cs="仿宋_GB2312"/>
          <w:szCs w:val="32"/>
        </w:rPr>
        <w:t>2.省、市、县财政预算安排专项用于农村公路养护的资金，含成品油消费税改革新增收入替代养护费、拖养费资金；</w:t>
      </w:r>
    </w:p>
    <w:p>
      <w:pPr>
        <w:spacing w:line="620" w:lineRule="exact"/>
        <w:ind w:firstLine="624"/>
        <w:rPr>
          <w:rFonts w:hint="eastAsia" w:ascii="仿宋_GB2312" w:hAnsi="仿宋_GB2312" w:cs="仿宋_GB2312"/>
          <w:szCs w:val="32"/>
        </w:rPr>
      </w:pPr>
      <w:r>
        <w:rPr>
          <w:rFonts w:hint="eastAsia" w:ascii="仿宋_GB2312" w:hAnsi="仿宋_GB2312" w:cs="仿宋_GB2312"/>
          <w:szCs w:val="32"/>
        </w:rPr>
        <w:t>3.乡镇人民政府、村民委员会依法筹集用于农村公路养护的资金；</w:t>
      </w:r>
    </w:p>
    <w:p>
      <w:pPr>
        <w:spacing w:line="620" w:lineRule="exact"/>
        <w:ind w:firstLine="624"/>
        <w:rPr>
          <w:rFonts w:hint="eastAsia" w:ascii="仿宋_GB2312" w:hAnsi="仿宋_GB2312" w:cs="仿宋_GB2312"/>
          <w:szCs w:val="32"/>
        </w:rPr>
      </w:pPr>
      <w:r>
        <w:rPr>
          <w:rFonts w:hint="eastAsia" w:ascii="仿宋_GB2312" w:hAnsi="仿宋_GB2312" w:cs="仿宋_GB2312"/>
          <w:szCs w:val="32"/>
        </w:rPr>
        <w:t>4.企业、个人等社会捐助养护资金；</w:t>
      </w:r>
    </w:p>
    <w:p>
      <w:pPr>
        <w:spacing w:line="620" w:lineRule="exact"/>
        <w:ind w:firstLine="624"/>
        <w:rPr>
          <w:rFonts w:hint="eastAsia" w:ascii="仿宋_GB2312" w:hAnsi="仿宋_GB2312" w:cs="仿宋_GB2312"/>
          <w:szCs w:val="32"/>
        </w:rPr>
      </w:pPr>
      <w:r>
        <w:rPr>
          <w:rFonts w:hint="eastAsia" w:ascii="仿宋_GB2312" w:hAnsi="仿宋_GB2312" w:cs="仿宋_GB2312"/>
          <w:szCs w:val="32"/>
        </w:rPr>
        <w:t>5.灾毁保险赔付资金和农村公路路政赔补偿资金等。</w:t>
      </w:r>
    </w:p>
    <w:p>
      <w:pPr>
        <w:numPr>
          <w:ilvl w:val="0"/>
          <w:numId w:val="1"/>
        </w:numPr>
        <w:spacing w:line="620" w:lineRule="exact"/>
        <w:ind w:firstLine="624"/>
        <w:rPr>
          <w:szCs w:val="32"/>
        </w:rPr>
      </w:pPr>
      <w:r>
        <w:rPr>
          <w:szCs w:val="32"/>
        </w:rPr>
        <w:t xml:space="preserve"> </w:t>
      </w:r>
      <w:r>
        <w:rPr>
          <w:rFonts w:hint="eastAsia"/>
          <w:szCs w:val="32"/>
        </w:rPr>
        <w:t>农村公路养护资金应专项管理、明细核算、专款专用。任何单位、组织和个人都不得截留、挤占、挪用和超范围使用养护资金。</w:t>
      </w:r>
      <w:r>
        <w:rPr>
          <w:szCs w:val="32"/>
        </w:rPr>
        <w:t xml:space="preserve"> </w:t>
      </w:r>
    </w:p>
    <w:p>
      <w:pPr>
        <w:numPr>
          <w:ilvl w:val="0"/>
          <w:numId w:val="1"/>
        </w:numPr>
        <w:spacing w:line="620" w:lineRule="exact"/>
        <w:ind w:firstLine="624"/>
        <w:rPr>
          <w:rFonts w:ascii="仿宋_GB2312"/>
          <w:szCs w:val="32"/>
        </w:rPr>
      </w:pPr>
      <w:r>
        <w:rPr>
          <w:rFonts w:hint="eastAsia"/>
          <w:szCs w:val="32"/>
        </w:rPr>
        <w:t>农村公路养护资金执行公开制度。县级交通主管部门及乡镇、村委会定期将年度农村公路养护资金的归集与使用情况在单位公示栏上公开，接</w:t>
      </w:r>
      <w:r>
        <w:rPr>
          <w:rFonts w:hint="eastAsia" w:ascii="仿宋_GB2312"/>
          <w:szCs w:val="32"/>
        </w:rPr>
        <w:t>受群众及社会各界监督。</w:t>
      </w:r>
    </w:p>
    <w:p>
      <w:pPr>
        <w:spacing w:before="287" w:beforeLines="50" w:after="287" w:afterLines="50" w:line="620" w:lineRule="exact"/>
        <w:ind w:firstLine="0" w:firstLineChars="0"/>
        <w:jc w:val="center"/>
        <w:rPr>
          <w:rFonts w:hint="eastAsia" w:ascii="黑体" w:hAnsi="黑体" w:eastAsia="黑体" w:cs="黑体"/>
          <w:bCs/>
          <w:szCs w:val="32"/>
        </w:rPr>
      </w:pPr>
      <w:r>
        <w:rPr>
          <w:rFonts w:hint="eastAsia" w:ascii="黑体" w:hAnsi="黑体" w:eastAsia="黑体" w:cs="黑体"/>
          <w:bCs/>
          <w:szCs w:val="32"/>
        </w:rPr>
        <w:t>第二章  资金筹集</w:t>
      </w:r>
    </w:p>
    <w:p>
      <w:pPr>
        <w:numPr>
          <w:ilvl w:val="0"/>
          <w:numId w:val="1"/>
        </w:numPr>
        <w:spacing w:line="620" w:lineRule="exact"/>
        <w:ind w:firstLine="624"/>
        <w:rPr>
          <w:szCs w:val="32"/>
        </w:rPr>
      </w:pPr>
      <w:r>
        <w:rPr>
          <w:rFonts w:hint="eastAsia"/>
          <w:szCs w:val="32"/>
        </w:rPr>
        <w:t>农村公路养护资金应纳入各级财政预算，由各级交通主管部门按辖区年报统计管养里程及不低于省政府确定的投入标准编制。县总路长应协调落实本级养护财政资金列入预算，并及时拨付到位。</w:t>
      </w:r>
    </w:p>
    <w:p>
      <w:pPr>
        <w:numPr>
          <w:ilvl w:val="0"/>
          <w:numId w:val="1"/>
        </w:numPr>
        <w:spacing w:line="620" w:lineRule="exact"/>
        <w:ind w:firstLine="624"/>
        <w:rPr>
          <w:szCs w:val="32"/>
        </w:rPr>
      </w:pPr>
      <w:r>
        <w:rPr>
          <w:rFonts w:hint="eastAsia"/>
          <w:szCs w:val="32"/>
        </w:rPr>
        <w:t>鼓励有条件的乡（镇）人民政府积极筹措农村公路养护资金，补充用于乡、村道的养护与管理支出。村民委员会可通过“一事一议”方式筹集村道养护资金或组织群众投工投劳养护村道。</w:t>
      </w:r>
    </w:p>
    <w:p>
      <w:pPr>
        <w:numPr>
          <w:ilvl w:val="0"/>
          <w:numId w:val="1"/>
        </w:numPr>
        <w:spacing w:line="620" w:lineRule="exact"/>
        <w:ind w:firstLine="624"/>
        <w:rPr>
          <w:szCs w:val="32"/>
        </w:rPr>
      </w:pPr>
      <w:r>
        <w:rPr>
          <w:rFonts w:hint="eastAsia"/>
          <w:szCs w:val="32"/>
        </w:rPr>
        <w:t>县、乡镇人民政府、村民委员会可结合当地实际，出台相应的养护资金筹措办法，通过出让农村公路、桥梁、沿线设施的冠名权，采取沿线企业、群众认养，集体收入投入等方式筹集农村公路养护的资金。社会筹集的养护资金使用应及时反馈给资金提供人。</w:t>
      </w:r>
    </w:p>
    <w:p>
      <w:pPr>
        <w:spacing w:before="287" w:beforeLines="50" w:after="287" w:afterLines="50" w:line="620" w:lineRule="exact"/>
        <w:ind w:firstLine="0" w:firstLineChars="0"/>
        <w:jc w:val="center"/>
        <w:rPr>
          <w:rFonts w:hint="eastAsia" w:ascii="黑体" w:hAnsi="黑体" w:eastAsia="黑体" w:cs="黑体"/>
          <w:bCs/>
          <w:szCs w:val="32"/>
        </w:rPr>
      </w:pPr>
      <w:r>
        <w:rPr>
          <w:rFonts w:hint="eastAsia" w:ascii="黑体" w:hAnsi="黑体" w:eastAsia="黑体" w:cs="黑体"/>
          <w:bCs/>
          <w:szCs w:val="32"/>
        </w:rPr>
        <w:t>第三章  资金拨付</w:t>
      </w:r>
    </w:p>
    <w:p>
      <w:pPr>
        <w:numPr>
          <w:ilvl w:val="0"/>
          <w:numId w:val="1"/>
        </w:numPr>
        <w:spacing w:line="620" w:lineRule="exact"/>
        <w:ind w:firstLine="624"/>
        <w:rPr>
          <w:szCs w:val="32"/>
        </w:rPr>
      </w:pPr>
      <w:r>
        <w:rPr>
          <w:rFonts w:hint="eastAsia"/>
          <w:szCs w:val="32"/>
        </w:rPr>
        <w:t>养护省补资金由“固定省补资金”（按县道</w:t>
      </w:r>
      <w:r>
        <w:rPr>
          <w:szCs w:val="32"/>
        </w:rPr>
        <w:t>7000</w:t>
      </w:r>
      <w:r>
        <w:rPr>
          <w:rFonts w:hint="eastAsia"/>
          <w:szCs w:val="32"/>
        </w:rPr>
        <w:t>元</w:t>
      </w:r>
      <w:r>
        <w:rPr>
          <w:szCs w:val="32"/>
        </w:rPr>
        <w:t>/</w:t>
      </w:r>
      <w:r>
        <w:rPr>
          <w:rFonts w:hint="eastAsia"/>
          <w:szCs w:val="32"/>
        </w:rPr>
        <w:t>年公里、乡道</w:t>
      </w:r>
      <w:r>
        <w:rPr>
          <w:szCs w:val="32"/>
        </w:rPr>
        <w:t>3500</w:t>
      </w:r>
      <w:r>
        <w:rPr>
          <w:rFonts w:hint="eastAsia"/>
          <w:szCs w:val="32"/>
        </w:rPr>
        <w:t>元</w:t>
      </w:r>
      <w:r>
        <w:rPr>
          <w:szCs w:val="32"/>
        </w:rPr>
        <w:t>/</w:t>
      </w:r>
      <w:r>
        <w:rPr>
          <w:rFonts w:hint="eastAsia"/>
          <w:szCs w:val="32"/>
        </w:rPr>
        <w:t>年公里、村道</w:t>
      </w:r>
      <w:r>
        <w:rPr>
          <w:szCs w:val="32"/>
        </w:rPr>
        <w:t>1000</w:t>
      </w:r>
      <w:r>
        <w:rPr>
          <w:rFonts w:hint="eastAsia"/>
          <w:szCs w:val="32"/>
        </w:rPr>
        <w:t>元</w:t>
      </w:r>
      <w:r>
        <w:rPr>
          <w:szCs w:val="32"/>
        </w:rPr>
        <w:t>/</w:t>
      </w:r>
      <w:r>
        <w:rPr>
          <w:rFonts w:hint="eastAsia"/>
          <w:szCs w:val="32"/>
        </w:rPr>
        <w:t>年公里标准筹措的省补资金，即“</w:t>
      </w:r>
      <w:r>
        <w:rPr>
          <w:szCs w:val="32"/>
        </w:rPr>
        <w:t>7351</w:t>
      </w:r>
      <w:r>
        <w:rPr>
          <w:rFonts w:hint="eastAsia"/>
          <w:szCs w:val="32"/>
        </w:rPr>
        <w:t>”）和“增量省补资金”（因补助标准由“</w:t>
      </w:r>
      <w:r>
        <w:rPr>
          <w:szCs w:val="32"/>
        </w:rPr>
        <w:t>7351</w:t>
      </w:r>
      <w:r>
        <w:rPr>
          <w:rFonts w:hint="eastAsia"/>
          <w:szCs w:val="32"/>
        </w:rPr>
        <w:t>”提高到县道</w:t>
      </w:r>
      <w:r>
        <w:rPr>
          <w:szCs w:val="32"/>
        </w:rPr>
        <w:t>15000</w:t>
      </w:r>
      <w:r>
        <w:rPr>
          <w:rFonts w:hint="eastAsia"/>
          <w:szCs w:val="32"/>
        </w:rPr>
        <w:t>元</w:t>
      </w:r>
      <w:r>
        <w:rPr>
          <w:szCs w:val="32"/>
        </w:rPr>
        <w:t>/</w:t>
      </w:r>
      <w:r>
        <w:rPr>
          <w:rFonts w:hint="eastAsia"/>
          <w:szCs w:val="32"/>
        </w:rPr>
        <w:t>年公里、乡道</w:t>
      </w:r>
      <w:r>
        <w:rPr>
          <w:szCs w:val="32"/>
        </w:rPr>
        <w:t>7000</w:t>
      </w:r>
      <w:r>
        <w:rPr>
          <w:rFonts w:hint="eastAsia"/>
          <w:szCs w:val="32"/>
        </w:rPr>
        <w:t>元</w:t>
      </w:r>
      <w:r>
        <w:rPr>
          <w:szCs w:val="32"/>
        </w:rPr>
        <w:t>/</w:t>
      </w:r>
      <w:r>
        <w:rPr>
          <w:rFonts w:hint="eastAsia"/>
          <w:szCs w:val="32"/>
        </w:rPr>
        <w:t>年公里、村道</w:t>
      </w:r>
      <w:r>
        <w:rPr>
          <w:szCs w:val="32"/>
        </w:rPr>
        <w:t>2000</w:t>
      </w:r>
      <w:r>
        <w:rPr>
          <w:rFonts w:hint="eastAsia"/>
          <w:szCs w:val="32"/>
        </w:rPr>
        <w:t>元</w:t>
      </w:r>
      <w:r>
        <w:rPr>
          <w:szCs w:val="32"/>
        </w:rPr>
        <w:t>/</w:t>
      </w:r>
      <w:r>
        <w:rPr>
          <w:rFonts w:hint="eastAsia"/>
          <w:szCs w:val="32"/>
        </w:rPr>
        <w:t>年公里而调增的省补资金）组成。</w:t>
      </w:r>
    </w:p>
    <w:p>
      <w:pPr>
        <w:tabs>
          <w:tab w:val="left" w:pos="0"/>
        </w:tabs>
        <w:spacing w:line="620" w:lineRule="exact"/>
        <w:ind w:firstLine="624"/>
        <w:rPr>
          <w:rFonts w:hint="eastAsia"/>
          <w:szCs w:val="32"/>
        </w:rPr>
      </w:pPr>
      <w:r>
        <w:rPr>
          <w:rFonts w:hint="eastAsia"/>
          <w:szCs w:val="32"/>
        </w:rPr>
        <w:t>“增量省补资金”按“</w:t>
      </w:r>
      <w:r>
        <w:rPr>
          <w:szCs w:val="32"/>
        </w:rPr>
        <w:t>2</w:t>
      </w:r>
      <w:r>
        <w:rPr>
          <w:rFonts w:hint="eastAsia"/>
          <w:szCs w:val="32"/>
        </w:rPr>
        <w:t>个</w:t>
      </w:r>
      <w:r>
        <w:rPr>
          <w:szCs w:val="32"/>
        </w:rPr>
        <w:t>50%</w:t>
      </w:r>
      <w:r>
        <w:rPr>
          <w:rFonts w:hint="eastAsia"/>
          <w:szCs w:val="32"/>
        </w:rPr>
        <w:t>”</w:t>
      </w:r>
      <w:r>
        <w:rPr>
          <w:szCs w:val="32"/>
        </w:rPr>
        <w:t xml:space="preserve"> </w:t>
      </w:r>
      <w:r>
        <w:rPr>
          <w:rFonts w:hint="eastAsia"/>
          <w:szCs w:val="32"/>
        </w:rPr>
        <w:t>实行以奖代补，其中：</w:t>
      </w:r>
      <w:r>
        <w:rPr>
          <w:szCs w:val="32"/>
        </w:rPr>
        <w:t>50%</w:t>
      </w:r>
      <w:r>
        <w:rPr>
          <w:rFonts w:hint="eastAsia"/>
          <w:szCs w:val="32"/>
        </w:rPr>
        <w:t>实行</w:t>
      </w:r>
      <w:r>
        <w:rPr>
          <w:rFonts w:hint="eastAsia"/>
          <w:bCs/>
          <w:szCs w:val="32"/>
        </w:rPr>
        <w:t>与各地</w:t>
      </w:r>
      <w:r>
        <w:rPr>
          <w:rFonts w:hint="eastAsia" w:ascii="仿宋_GB2312"/>
          <w:bCs/>
          <w:szCs w:val="32"/>
        </w:rPr>
        <w:t>养护资金使用</w:t>
      </w:r>
      <w:r>
        <w:rPr>
          <w:rFonts w:hint="eastAsia"/>
          <w:bCs/>
          <w:szCs w:val="32"/>
        </w:rPr>
        <w:t>及养护质量抽查结果等挂钩</w:t>
      </w:r>
      <w:r>
        <w:rPr>
          <w:rFonts w:hint="eastAsia"/>
          <w:szCs w:val="32"/>
        </w:rPr>
        <w:t>；</w:t>
      </w:r>
      <w:r>
        <w:rPr>
          <w:szCs w:val="32"/>
        </w:rPr>
        <w:t>50%</w:t>
      </w:r>
      <w:r>
        <w:rPr>
          <w:rFonts w:hint="eastAsia"/>
          <w:szCs w:val="32"/>
        </w:rPr>
        <w:t>实行与市、县财政养护资金投入挂钩（挂钩办法具体见附件）。</w:t>
      </w:r>
    </w:p>
    <w:p>
      <w:pPr>
        <w:numPr>
          <w:ilvl w:val="0"/>
          <w:numId w:val="1"/>
        </w:numPr>
        <w:spacing w:line="620" w:lineRule="exact"/>
        <w:ind w:firstLine="624"/>
        <w:rPr>
          <w:bCs/>
          <w:szCs w:val="32"/>
        </w:rPr>
      </w:pPr>
      <w:r>
        <w:rPr>
          <w:rFonts w:hint="eastAsia"/>
          <w:bCs/>
          <w:szCs w:val="32"/>
        </w:rPr>
        <w:t>省补养护资金通过国库集中支付，按各地年报养护里程及相关规定提前下达；并在各地上年度养护里程变化、养护质量抽查情况、养护工程补助资金使用和上年度地方财政养护资金投入挂钩考核结果确定后，按考核情况进行调整。</w:t>
      </w:r>
    </w:p>
    <w:p>
      <w:pPr>
        <w:numPr>
          <w:ilvl w:val="0"/>
          <w:numId w:val="1"/>
        </w:numPr>
        <w:spacing w:line="620" w:lineRule="exact"/>
        <w:ind w:firstLine="624"/>
        <w:rPr>
          <w:szCs w:val="32"/>
        </w:rPr>
      </w:pPr>
      <w:r>
        <w:rPr>
          <w:rFonts w:hint="eastAsia"/>
          <w:szCs w:val="32"/>
        </w:rPr>
        <w:t>省公路事业发展中心（简称“省公路中心”）负责对地方养护质量、</w:t>
      </w:r>
      <w:r>
        <w:rPr>
          <w:rFonts w:hint="eastAsia"/>
          <w:bCs/>
        </w:rPr>
        <w:t>养护工程补助资金使用</w:t>
      </w:r>
      <w:r>
        <w:rPr>
          <w:rFonts w:hint="eastAsia"/>
          <w:szCs w:val="32"/>
        </w:rPr>
        <w:t>和财政养护资金投入等挂钩抽查考核，原则上于每年底组织开展，</w:t>
      </w:r>
      <w:r>
        <w:rPr>
          <w:rFonts w:hint="eastAsia"/>
          <w:bCs/>
          <w:szCs w:val="32"/>
        </w:rPr>
        <w:t>及时提出“增量省补资金”挂钩考核结果报厅审定</w:t>
      </w:r>
      <w:r>
        <w:rPr>
          <w:rFonts w:hint="eastAsia"/>
          <w:szCs w:val="32"/>
        </w:rPr>
        <w:t>。具体挂钩办法见附件。</w:t>
      </w:r>
    </w:p>
    <w:p>
      <w:pPr>
        <w:numPr>
          <w:ilvl w:val="0"/>
          <w:numId w:val="1"/>
        </w:numPr>
        <w:spacing w:line="620" w:lineRule="exact"/>
        <w:ind w:firstLine="624"/>
        <w:rPr>
          <w:bCs/>
          <w:szCs w:val="32"/>
        </w:rPr>
      </w:pPr>
      <w:r>
        <w:rPr>
          <w:rFonts w:hint="eastAsia"/>
          <w:bCs/>
          <w:szCs w:val="32"/>
        </w:rPr>
        <w:t>各设区市（区）、县级交通主管部门应及时申请拨付本级预算资金，本级财政安排的养护资金应于当年</w:t>
      </w:r>
      <w:r>
        <w:rPr>
          <w:bCs/>
          <w:szCs w:val="32"/>
        </w:rPr>
        <w:t>9</w:t>
      </w:r>
      <w:r>
        <w:rPr>
          <w:rFonts w:hint="eastAsia"/>
          <w:bCs/>
          <w:szCs w:val="32"/>
        </w:rPr>
        <w:t>月底前拨付到位。</w:t>
      </w:r>
    </w:p>
    <w:p>
      <w:pPr>
        <w:spacing w:before="287" w:beforeLines="50" w:after="287" w:afterLines="50" w:line="620" w:lineRule="exact"/>
        <w:ind w:firstLine="0" w:firstLineChars="0"/>
        <w:jc w:val="center"/>
        <w:rPr>
          <w:rFonts w:hint="eastAsia" w:ascii="黑体" w:hAnsi="黑体" w:eastAsia="黑体" w:cs="黑体"/>
          <w:bCs/>
          <w:szCs w:val="32"/>
        </w:rPr>
      </w:pPr>
      <w:r>
        <w:rPr>
          <w:rFonts w:hint="eastAsia" w:ascii="黑体" w:hAnsi="黑体" w:eastAsia="黑体" w:cs="黑体"/>
          <w:bCs/>
          <w:szCs w:val="32"/>
        </w:rPr>
        <w:t>第四章  资金管理</w:t>
      </w:r>
    </w:p>
    <w:p>
      <w:pPr>
        <w:numPr>
          <w:ilvl w:val="0"/>
          <w:numId w:val="1"/>
        </w:numPr>
        <w:spacing w:line="620" w:lineRule="exact"/>
        <w:ind w:firstLine="624"/>
        <w:rPr>
          <w:szCs w:val="32"/>
        </w:rPr>
      </w:pPr>
      <w:r>
        <w:rPr>
          <w:rFonts w:hint="eastAsia"/>
          <w:szCs w:val="32"/>
        </w:rPr>
        <w:t>养护资金可用于以下方面支出：</w:t>
      </w:r>
    </w:p>
    <w:p>
      <w:pPr>
        <w:numPr>
          <w:ilvl w:val="0"/>
          <w:numId w:val="2"/>
        </w:numPr>
        <w:spacing w:line="620" w:lineRule="exact"/>
        <w:ind w:firstLine="624"/>
        <w:rPr>
          <w:rFonts w:ascii="仿宋_GB2312"/>
          <w:bCs/>
          <w:szCs w:val="32"/>
        </w:rPr>
      </w:pPr>
      <w:r>
        <w:rPr>
          <w:rFonts w:hint="eastAsia" w:ascii="仿宋_GB2312"/>
          <w:bCs/>
          <w:szCs w:val="32"/>
        </w:rPr>
        <w:t>日常养护：包括日常巡查、日常保养和小修。日常巡查是为及时发现农村公路及其所属设施损坏、污染或其他影响正常通行的情况，开展的日常检查工作。日常保养是对农村公路及其所属设施经常进行清洁、整理等维护保养的作业。小修是对农村公路及其所属设施的轻微损坏进行的修补。</w:t>
      </w:r>
    </w:p>
    <w:p>
      <w:pPr>
        <w:numPr>
          <w:ilvl w:val="0"/>
          <w:numId w:val="3"/>
        </w:numPr>
        <w:spacing w:line="620" w:lineRule="exact"/>
        <w:ind w:firstLine="624"/>
        <w:rPr>
          <w:rFonts w:ascii="仿宋_GB2312"/>
          <w:bCs/>
          <w:szCs w:val="32"/>
        </w:rPr>
      </w:pPr>
      <w:r>
        <w:rPr>
          <w:rFonts w:hint="eastAsia" w:ascii="仿宋_GB2312"/>
          <w:szCs w:val="32"/>
        </w:rPr>
        <w:t>养护工程：农村公路设施的预防养护、修复养护、应急养护和专项养护工程，沿线绿化与更新，沿线客运站场维修更新，养护班站（应急基地）、</w:t>
      </w:r>
      <w:r>
        <w:rPr>
          <w:rFonts w:hint="eastAsia" w:ascii="仿宋_GB2312"/>
          <w:bCs/>
          <w:szCs w:val="32"/>
        </w:rPr>
        <w:t>养护基础设施建设与维护</w:t>
      </w:r>
      <w:r>
        <w:rPr>
          <w:rFonts w:hint="eastAsia" w:ascii="仿宋_GB2312"/>
          <w:szCs w:val="32"/>
        </w:rPr>
        <w:t>，养护机械装备更新维护，</w:t>
      </w:r>
      <w:r>
        <w:rPr>
          <w:rFonts w:hint="eastAsia" w:ascii="仿宋_GB2312"/>
          <w:bCs/>
          <w:szCs w:val="32"/>
        </w:rPr>
        <w:t>公路交通情况调查，公路（桥隧）技术状况评定与检测，养护管理信息化建设、维护及更新</w:t>
      </w:r>
      <w:r>
        <w:rPr>
          <w:rFonts w:hint="eastAsia" w:ascii="仿宋_GB2312"/>
          <w:szCs w:val="32"/>
        </w:rPr>
        <w:t>，以及实施养护工程所开展的设计、咨询、工程管理</w:t>
      </w:r>
      <w:r>
        <w:rPr>
          <w:rFonts w:hint="eastAsia" w:ascii="仿宋_GB2312"/>
          <w:bCs/>
          <w:szCs w:val="32"/>
        </w:rPr>
        <w:t>及质量控制、验收、项目后评估等服务费用。</w:t>
      </w:r>
    </w:p>
    <w:p>
      <w:pPr>
        <w:spacing w:line="620" w:lineRule="exact"/>
        <w:ind w:firstLine="624"/>
        <w:rPr>
          <w:rFonts w:ascii="仿宋_GB2312"/>
          <w:bCs/>
          <w:szCs w:val="32"/>
        </w:rPr>
      </w:pPr>
      <w:r>
        <w:rPr>
          <w:rFonts w:hint="eastAsia" w:ascii="仿宋_GB2312"/>
          <w:szCs w:val="32"/>
        </w:rPr>
        <w:t>（三）养护管理：乡村道专管员人员工资性及劳保等支出。</w:t>
      </w:r>
      <w:r>
        <w:rPr>
          <w:rFonts w:hint="eastAsia" w:ascii="仿宋_GB2312"/>
          <w:bCs/>
          <w:szCs w:val="32"/>
        </w:rPr>
        <w:t>管理人员技术培训、公路保护及宣传等支出。</w:t>
      </w:r>
    </w:p>
    <w:p>
      <w:pPr>
        <w:numPr>
          <w:ilvl w:val="0"/>
          <w:numId w:val="1"/>
        </w:numPr>
        <w:spacing w:line="620" w:lineRule="exact"/>
        <w:ind w:firstLine="624"/>
        <w:rPr>
          <w:szCs w:val="32"/>
        </w:rPr>
      </w:pPr>
      <w:r>
        <w:rPr>
          <w:rFonts w:hint="eastAsia"/>
          <w:szCs w:val="32"/>
        </w:rPr>
        <w:t>养护资金支出应遵循“先重点、后一般”的原则，优先保障日常养护、预防养护</w:t>
      </w:r>
      <w:r>
        <w:rPr>
          <w:rFonts w:hint="eastAsia" w:ascii="仿宋_GB2312"/>
          <w:szCs w:val="32"/>
        </w:rPr>
        <w:t>、</w:t>
      </w:r>
      <w:r>
        <w:rPr>
          <w:rFonts w:hint="eastAsia" w:ascii="仿宋_GB2312"/>
          <w:bCs/>
          <w:szCs w:val="32"/>
        </w:rPr>
        <w:t>修复养护</w:t>
      </w:r>
      <w:r>
        <w:rPr>
          <w:rFonts w:hint="eastAsia"/>
          <w:szCs w:val="32"/>
        </w:rPr>
        <w:t>和应急养护支出。</w:t>
      </w:r>
    </w:p>
    <w:p>
      <w:pPr>
        <w:numPr>
          <w:ilvl w:val="0"/>
          <w:numId w:val="1"/>
        </w:numPr>
        <w:spacing w:line="620" w:lineRule="exact"/>
        <w:ind w:firstLine="624"/>
        <w:rPr>
          <w:rFonts w:hint="eastAsia" w:ascii="仿宋_GB2312" w:hAnsi="仿宋_GB2312" w:cs="仿宋_GB2312"/>
          <w:szCs w:val="32"/>
        </w:rPr>
      </w:pPr>
      <w:r>
        <w:rPr>
          <w:rFonts w:hint="eastAsia" w:ascii="仿宋_GB2312" w:hAnsi="仿宋_GB2312" w:cs="仿宋_GB2312"/>
          <w:bCs/>
          <w:szCs w:val="32"/>
        </w:rPr>
        <w:t>日常养护资金由市、县两级公共财政（不含“替代养路费部分”）承担，按每年每公里不低于县道10000元、乡道5000元、村道3000元标准安排</w:t>
      </w:r>
      <w:r>
        <w:rPr>
          <w:rFonts w:hint="eastAsia" w:ascii="仿宋_GB2312" w:hAnsi="仿宋_GB2312" w:cs="仿宋_GB2312"/>
          <w:b/>
          <w:bCs/>
          <w:szCs w:val="32"/>
        </w:rPr>
        <w:t>。</w:t>
      </w:r>
      <w:r>
        <w:rPr>
          <w:rFonts w:hint="eastAsia" w:ascii="仿宋_GB2312" w:hAnsi="仿宋_GB2312" w:cs="仿宋_GB2312"/>
          <w:szCs w:val="32"/>
        </w:rPr>
        <w:t>县级交通主管部门应视路况、交通量等情况合理确定不同等级路线的日常保养成本，严格小修计量支付和日常养护考核，努力提升养护资金使用成效。</w:t>
      </w:r>
    </w:p>
    <w:p>
      <w:pPr>
        <w:numPr>
          <w:ilvl w:val="0"/>
          <w:numId w:val="1"/>
        </w:numPr>
        <w:spacing w:line="620" w:lineRule="exact"/>
        <w:ind w:firstLine="624"/>
        <w:rPr>
          <w:rFonts w:ascii="仿宋_GB2312"/>
          <w:b/>
          <w:bCs/>
          <w:szCs w:val="32"/>
        </w:rPr>
      </w:pPr>
      <w:r>
        <w:rPr>
          <w:rFonts w:hint="eastAsia"/>
          <w:szCs w:val="32"/>
        </w:rPr>
        <w:t>省补养护资金应全额用于养护工程支出，且不得用于列入部、省专项工程补助的安全生命防护工程、危桥改造、路面重铺、道安整治等项目</w:t>
      </w:r>
      <w:r>
        <w:rPr>
          <w:rFonts w:hint="eastAsia" w:ascii="仿宋_GB2312"/>
          <w:szCs w:val="32"/>
        </w:rPr>
        <w:t>。</w:t>
      </w:r>
    </w:p>
    <w:p>
      <w:pPr>
        <w:numPr>
          <w:ilvl w:val="0"/>
          <w:numId w:val="1"/>
        </w:numPr>
        <w:spacing w:line="620" w:lineRule="exact"/>
        <w:ind w:firstLine="624"/>
        <w:rPr>
          <w:rFonts w:ascii="仿宋_GB2312"/>
          <w:bCs/>
          <w:szCs w:val="32"/>
        </w:rPr>
      </w:pPr>
      <w:r>
        <w:rPr>
          <w:rFonts w:hint="eastAsia"/>
          <w:bCs/>
          <w:szCs w:val="32"/>
        </w:rPr>
        <w:t>县级交通主管部门应定期调查管养路线病害并建立病害库，提前谋划年度养护工程计划并开展前期工作，确保年度养护资金预算执行。</w:t>
      </w:r>
    </w:p>
    <w:p>
      <w:pPr>
        <w:numPr>
          <w:ilvl w:val="0"/>
          <w:numId w:val="1"/>
        </w:numPr>
        <w:spacing w:line="620" w:lineRule="exact"/>
        <w:ind w:firstLine="624"/>
        <w:rPr>
          <w:szCs w:val="32"/>
        </w:rPr>
      </w:pPr>
      <w:r>
        <w:rPr>
          <w:rFonts w:hint="eastAsia"/>
          <w:szCs w:val="32"/>
        </w:rPr>
        <w:t>县级交通主管部门根据</w:t>
      </w:r>
      <w:r>
        <w:rPr>
          <w:rFonts w:hint="eastAsia" w:ascii="仿宋_GB2312"/>
          <w:szCs w:val="32"/>
        </w:rPr>
        <w:t>省、设区市确定的年度农村公路养护目标和重点工作</w:t>
      </w:r>
      <w:r>
        <w:rPr>
          <w:rFonts w:hint="eastAsia"/>
          <w:szCs w:val="32"/>
        </w:rPr>
        <w:t>，组织编制省补养护工程计划</w:t>
      </w:r>
      <w:r>
        <w:rPr>
          <w:rFonts w:hint="eastAsia" w:ascii="仿宋_GB2312"/>
          <w:szCs w:val="32"/>
        </w:rPr>
        <w:t>，报设区市交通主管部门批准。</w:t>
      </w:r>
      <w:r>
        <w:rPr>
          <w:rFonts w:hint="eastAsia" w:ascii="仿宋_GB2312"/>
          <w:bCs/>
          <w:szCs w:val="32"/>
        </w:rPr>
        <w:t>养护工程计划项目应在省补资金下达后</w:t>
      </w:r>
      <w:r>
        <w:rPr>
          <w:rFonts w:ascii="仿宋_GB2312"/>
          <w:bCs/>
          <w:szCs w:val="32"/>
        </w:rPr>
        <w:t>2</w:t>
      </w:r>
      <w:r>
        <w:rPr>
          <w:rFonts w:hint="eastAsia" w:ascii="仿宋_GB2312"/>
          <w:bCs/>
          <w:szCs w:val="32"/>
        </w:rPr>
        <w:t>个月内通过养护工程管理系统统一报备省公路中心</w:t>
      </w:r>
      <w:r>
        <w:rPr>
          <w:rFonts w:hint="eastAsia" w:ascii="仿宋_GB2312"/>
          <w:szCs w:val="32"/>
        </w:rPr>
        <w:t>。对年度无法实施的养护工程项目，各县应及时调整计划并通过养护工程管理系统报备。</w:t>
      </w:r>
    </w:p>
    <w:p>
      <w:pPr>
        <w:numPr>
          <w:ilvl w:val="0"/>
          <w:numId w:val="1"/>
        </w:numPr>
        <w:spacing w:line="620" w:lineRule="exact"/>
        <w:ind w:firstLine="624"/>
        <w:rPr>
          <w:rFonts w:hint="eastAsia" w:ascii="仿宋_GB2312" w:hAnsi="仿宋_GB2312" w:cs="仿宋_GB2312"/>
          <w:bCs/>
          <w:szCs w:val="32"/>
        </w:rPr>
      </w:pPr>
      <w:r>
        <w:rPr>
          <w:rFonts w:hint="eastAsia" w:ascii="仿宋_GB2312" w:hAnsi="仿宋_GB2312" w:cs="仿宋_GB2312"/>
          <w:bCs/>
          <w:szCs w:val="32"/>
        </w:rPr>
        <w:t>省补养护工程实行季度报告制度，县级交通主管部门应在每季末月25日前将工程进度通过养护工程管理系统上报。</w:t>
      </w:r>
    </w:p>
    <w:p>
      <w:pPr>
        <w:numPr>
          <w:ilvl w:val="0"/>
          <w:numId w:val="1"/>
        </w:numPr>
        <w:spacing w:line="620" w:lineRule="exact"/>
        <w:ind w:firstLine="624"/>
        <w:rPr>
          <w:szCs w:val="32"/>
        </w:rPr>
      </w:pPr>
      <w:r>
        <w:rPr>
          <w:rFonts w:hint="eastAsia" w:ascii="仿宋_GB2312" w:hAnsi="仿宋"/>
          <w:szCs w:val="32"/>
        </w:rPr>
        <w:t>设区市（区）交通主管部门负责辖区内年度省补养护工程项目资金的完工核销工作。省补养护工程及资金核销情况于每年</w:t>
      </w:r>
      <w:r>
        <w:rPr>
          <w:rFonts w:ascii="仿宋_GB2312" w:hAnsi="仿宋"/>
          <w:szCs w:val="32"/>
        </w:rPr>
        <w:t>12</w:t>
      </w:r>
      <w:r>
        <w:rPr>
          <w:rFonts w:hint="eastAsia" w:ascii="仿宋_GB2312" w:hAnsi="仿宋"/>
          <w:szCs w:val="32"/>
        </w:rPr>
        <w:t>月</w:t>
      </w:r>
      <w:r>
        <w:rPr>
          <w:rFonts w:ascii="仿宋_GB2312" w:hAnsi="仿宋"/>
          <w:szCs w:val="32"/>
        </w:rPr>
        <w:t>15</w:t>
      </w:r>
      <w:r>
        <w:rPr>
          <w:rFonts w:hint="eastAsia" w:ascii="仿宋_GB2312" w:hAnsi="仿宋"/>
          <w:szCs w:val="32"/>
        </w:rPr>
        <w:t>日前正式报备省公路中心。</w:t>
      </w:r>
    </w:p>
    <w:p>
      <w:pPr>
        <w:tabs>
          <w:tab w:val="left" w:pos="0"/>
        </w:tabs>
        <w:spacing w:line="620" w:lineRule="exact"/>
        <w:ind w:firstLine="626"/>
        <w:jc w:val="center"/>
        <w:rPr>
          <w:rFonts w:hint="eastAsia" w:ascii="宋体" w:hAnsi="宋体" w:eastAsia="宋体" w:cs="宋体"/>
          <w:b/>
          <w:szCs w:val="32"/>
        </w:rPr>
      </w:pPr>
    </w:p>
    <w:p>
      <w:pPr>
        <w:tabs>
          <w:tab w:val="left" w:pos="0"/>
        </w:tabs>
        <w:spacing w:line="620" w:lineRule="exact"/>
        <w:ind w:firstLine="0" w:firstLineChars="0"/>
        <w:jc w:val="center"/>
        <w:rPr>
          <w:rFonts w:hint="eastAsia" w:ascii="黑体" w:hAnsi="黑体" w:eastAsia="黑体" w:cs="黑体"/>
          <w:bCs/>
          <w:szCs w:val="32"/>
        </w:rPr>
      </w:pPr>
      <w:r>
        <w:rPr>
          <w:rFonts w:hint="eastAsia" w:ascii="黑体" w:hAnsi="黑体" w:eastAsia="黑体" w:cs="黑体"/>
          <w:bCs/>
          <w:szCs w:val="32"/>
        </w:rPr>
        <w:t>第五章  监督检查</w:t>
      </w:r>
    </w:p>
    <w:p>
      <w:pPr>
        <w:numPr>
          <w:ilvl w:val="0"/>
          <w:numId w:val="1"/>
        </w:numPr>
        <w:spacing w:line="620" w:lineRule="exact"/>
        <w:ind w:firstLine="624"/>
        <w:rPr>
          <w:rFonts w:ascii="仿宋_GB2312"/>
          <w:szCs w:val="32"/>
        </w:rPr>
      </w:pPr>
      <w:r>
        <w:rPr>
          <w:rFonts w:hint="eastAsia"/>
          <w:szCs w:val="32"/>
        </w:rPr>
        <w:t>县级交通主管</w:t>
      </w:r>
      <w:r>
        <w:rPr>
          <w:rFonts w:hint="eastAsia" w:ascii="仿宋_GB2312"/>
          <w:szCs w:val="32"/>
        </w:rPr>
        <w:t>部门及其农村公路管理机构具体负责中央支持农村公路养护的专项资金及省、设区市、县（市、区）财政安排的养护资金的使用与监管；设区市交通运输主管部门应加强养护资金的使用指导、检查和监督。</w:t>
      </w:r>
      <w:r>
        <w:rPr>
          <w:rFonts w:hint="eastAsia" w:ascii="仿宋_GB2312"/>
          <w:bCs/>
          <w:szCs w:val="32"/>
        </w:rPr>
        <w:t>省公路中心结合日常督查工作视情对上年度地方核销报备项目进行抽查监督。</w:t>
      </w:r>
    </w:p>
    <w:p>
      <w:pPr>
        <w:spacing w:line="620" w:lineRule="exact"/>
        <w:ind w:firstLine="624"/>
        <w:rPr>
          <w:rFonts w:ascii="仿宋_GB2312" w:hAnsi="宋体" w:cs="宋体"/>
          <w:kern w:val="0"/>
          <w:szCs w:val="32"/>
        </w:rPr>
      </w:pPr>
      <w:r>
        <w:rPr>
          <w:rFonts w:hint="eastAsia" w:ascii="仿宋_GB2312" w:hAnsi="宋体" w:cs="宋体"/>
          <w:kern w:val="0"/>
          <w:szCs w:val="32"/>
        </w:rPr>
        <w:t>县级交通主管部门应加强乡镇人民政府、村民委员会筹集和企业、个人等社会捐助养护资金使用的指导。</w:t>
      </w:r>
    </w:p>
    <w:p>
      <w:pPr>
        <w:numPr>
          <w:ilvl w:val="0"/>
          <w:numId w:val="1"/>
        </w:numPr>
        <w:spacing w:line="620" w:lineRule="exact"/>
        <w:ind w:firstLine="624"/>
        <w:rPr>
          <w:szCs w:val="32"/>
        </w:rPr>
      </w:pPr>
      <w:r>
        <w:rPr>
          <w:rFonts w:hint="eastAsia"/>
          <w:szCs w:val="32"/>
        </w:rPr>
        <w:t>农村公路养护资金使用情况应接受同级及以上财政、审计等政府机关和上级主管单位的监督、检查。</w:t>
      </w:r>
    </w:p>
    <w:p>
      <w:pPr>
        <w:tabs>
          <w:tab w:val="left" w:pos="0"/>
        </w:tabs>
        <w:spacing w:line="620" w:lineRule="exact"/>
        <w:ind w:firstLine="626"/>
        <w:rPr>
          <w:rFonts w:hint="eastAsia" w:ascii="仿宋_GB2312" w:hAnsi="仿宋_GB2312" w:cs="仿宋_GB2312"/>
          <w:szCs w:val="32"/>
        </w:rPr>
      </w:pPr>
      <w:r>
        <w:rPr>
          <w:rFonts w:hint="eastAsia" w:ascii="仿宋_GB2312" w:hAnsi="仿宋"/>
          <w:b/>
          <w:szCs w:val="32"/>
        </w:rPr>
        <w:t xml:space="preserve">第二十三条  </w:t>
      </w:r>
      <w:r>
        <w:rPr>
          <w:rFonts w:hint="eastAsia" w:ascii="仿宋_GB2312" w:hAnsi="仿宋_GB2312" w:cs="仿宋_GB2312"/>
          <w:szCs w:val="32"/>
        </w:rPr>
        <w:t>当年度无法核销的养护工程省补资金，省级将同额度核减次年度安排该县的省补养护工程资金，并对核销资金比例低于90%的设区市（区）给予年度绩效扣分处罚。</w:t>
      </w:r>
    </w:p>
    <w:p>
      <w:pPr>
        <w:tabs>
          <w:tab w:val="left" w:pos="0"/>
        </w:tabs>
        <w:spacing w:line="620" w:lineRule="exact"/>
        <w:ind w:firstLine="626"/>
        <w:rPr>
          <w:rFonts w:ascii="仿宋_GB2312"/>
          <w:szCs w:val="32"/>
        </w:rPr>
      </w:pPr>
      <w:r>
        <w:rPr>
          <w:rFonts w:hint="eastAsia"/>
          <w:b/>
          <w:bCs/>
          <w:szCs w:val="32"/>
        </w:rPr>
        <w:t>第二十四条</w:t>
      </w:r>
      <w:r>
        <w:rPr>
          <w:rFonts w:hint="eastAsia"/>
          <w:szCs w:val="32"/>
        </w:rPr>
        <w:t xml:space="preserve">  管理、使用农村公路养护资金的单位或有关人员，违反法律、法规、财经制度和本办法规定的，除涉及违法犯罪移交司法机关追究有关人员刑事责任外，视情节责令限期整改、通报批评、暂停拨付养护资金、追究有关人员行政责</w:t>
      </w:r>
      <w:r>
        <w:rPr>
          <w:rFonts w:hint="eastAsia" w:ascii="仿宋_GB2312" w:hAnsi="宋体" w:cs="宋体"/>
          <w:kern w:val="0"/>
          <w:szCs w:val="32"/>
        </w:rPr>
        <w:t>任等</w:t>
      </w:r>
      <w:r>
        <w:rPr>
          <w:rFonts w:ascii="仿宋_GB2312" w:hAnsi="宋体" w:cs="宋体"/>
          <w:kern w:val="0"/>
          <w:szCs w:val="32"/>
        </w:rPr>
        <w:t>处罚</w:t>
      </w:r>
      <w:r>
        <w:rPr>
          <w:rFonts w:hint="eastAsia" w:ascii="仿宋_GB2312" w:hAnsi="宋体" w:cs="宋体"/>
          <w:kern w:val="0"/>
          <w:szCs w:val="32"/>
        </w:rPr>
        <w:t>。</w:t>
      </w:r>
    </w:p>
    <w:p>
      <w:pPr>
        <w:spacing w:before="287" w:beforeLines="50" w:after="287" w:afterLines="50" w:line="620" w:lineRule="exact"/>
        <w:ind w:firstLine="0" w:firstLineChars="0"/>
        <w:jc w:val="center"/>
        <w:rPr>
          <w:rFonts w:hint="eastAsia" w:ascii="黑体" w:hAnsi="黑体" w:eastAsia="黑体" w:cs="黑体"/>
          <w:bCs/>
          <w:szCs w:val="32"/>
        </w:rPr>
      </w:pPr>
      <w:r>
        <w:rPr>
          <w:rFonts w:hint="eastAsia" w:ascii="黑体" w:hAnsi="黑体" w:eastAsia="黑体" w:cs="黑体"/>
          <w:bCs/>
          <w:szCs w:val="32"/>
        </w:rPr>
        <w:t>第六章 附 则</w:t>
      </w:r>
    </w:p>
    <w:p>
      <w:pPr>
        <w:tabs>
          <w:tab w:val="left" w:pos="0"/>
        </w:tabs>
        <w:spacing w:line="620" w:lineRule="exact"/>
        <w:ind w:firstLine="626"/>
        <w:rPr>
          <w:szCs w:val="32"/>
        </w:rPr>
      </w:pPr>
      <w:r>
        <w:rPr>
          <w:rFonts w:hint="eastAsia"/>
          <w:b/>
          <w:bCs/>
          <w:szCs w:val="32"/>
        </w:rPr>
        <w:t>第二十五条</w:t>
      </w:r>
      <w:r>
        <w:rPr>
          <w:rFonts w:hint="eastAsia"/>
          <w:szCs w:val="32"/>
        </w:rPr>
        <w:t xml:space="preserve">  设区市、县（市、区）可参照本规定制定相应的养护资金管理实施细则，明确本级归集的养护资金的拨付与使用。</w:t>
      </w:r>
    </w:p>
    <w:p>
      <w:pPr>
        <w:tabs>
          <w:tab w:val="left" w:pos="0"/>
        </w:tabs>
        <w:spacing w:line="620" w:lineRule="exact"/>
        <w:ind w:firstLine="626"/>
        <w:rPr>
          <w:rFonts w:ascii="仿宋_GB231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1355" w:gutter="0"/>
          <w:cols w:space="720" w:num="1"/>
          <w:docGrid w:type="linesAndChars" w:linePitch="574" w:charSpace="-1683"/>
        </w:sectPr>
      </w:pPr>
      <w:r>
        <w:rPr>
          <w:rFonts w:hint="eastAsia" w:ascii="仿宋_GB2312"/>
          <w:b/>
          <w:bCs/>
          <w:szCs w:val="32"/>
        </w:rPr>
        <w:t>第二十六条</w:t>
      </w:r>
      <w:r>
        <w:rPr>
          <w:rFonts w:hint="eastAsia" w:ascii="仿宋_GB2312"/>
          <w:szCs w:val="32"/>
        </w:rPr>
        <w:t xml:space="preserve">  本规定自发布之日起施行，由省交通运输厅负责解释</w:t>
      </w:r>
      <w:r>
        <w:rPr>
          <w:rFonts w:hint="eastAsia" w:ascii="仿宋_GB2312" w:hAnsi="仿宋_GB2312" w:cs="仿宋_GB2312"/>
          <w:szCs w:val="32"/>
        </w:rPr>
        <w:t>。</w:t>
      </w:r>
    </w:p>
    <w:p>
      <w:pPr>
        <w:snapToGrid w:val="0"/>
        <w:spacing w:line="590" w:lineRule="exact"/>
        <w:ind w:firstLine="624"/>
        <w:rPr>
          <w:rFonts w:ascii="仿宋_GB2312"/>
          <w:szCs w:val="32"/>
        </w:rPr>
      </w:pPr>
    </w:p>
    <w:p>
      <w:pPr>
        <w:ind w:firstLine="624"/>
        <w:rPr>
          <w:rFonts w:hint="eastAsia" w:ascii="仿宋_GB2312"/>
          <w:color w:val="000000"/>
        </w:rPr>
      </w:pPr>
    </w:p>
    <w:p>
      <w:pPr>
        <w:ind w:firstLine="624"/>
        <w:rPr>
          <w:rFonts w:hint="eastAsia" w:ascii="仿宋_GB2312"/>
          <w:color w:val="000000"/>
        </w:rPr>
      </w:pPr>
    </w:p>
    <w:p>
      <w:pPr>
        <w:ind w:firstLine="624"/>
        <w:rPr>
          <w:rFonts w:hint="eastAsia" w:ascii="仿宋_GB2312"/>
          <w:color w:val="000000"/>
        </w:rPr>
      </w:pPr>
    </w:p>
    <w:p>
      <w:pPr>
        <w:ind w:firstLine="624"/>
        <w:rPr>
          <w:rFonts w:hint="eastAsia" w:ascii="仿宋_GB2312"/>
          <w:color w:val="000000"/>
        </w:rPr>
      </w:pPr>
    </w:p>
    <w:p>
      <w:pPr>
        <w:ind w:firstLine="624"/>
        <w:rPr>
          <w:rFonts w:hint="eastAsia" w:ascii="仿宋_GB2312"/>
          <w:color w:val="000000"/>
        </w:rPr>
      </w:pPr>
    </w:p>
    <w:p>
      <w:pPr>
        <w:ind w:left="0" w:leftChars="0" w:firstLine="0" w:firstLineChars="0"/>
      </w:pPr>
      <w:bookmarkStart w:id="0" w:name="_GoBack"/>
      <w:bookmarkEnd w:id="0"/>
    </w:p>
    <w:sectPr>
      <w:headerReference r:id="rId9" w:type="default"/>
      <w:footerReference r:id="rId11" w:type="default"/>
      <w:headerReference r:id="rId10" w:type="even"/>
      <w:footerReference r:id="rId12" w:type="even"/>
      <w:type w:val="continuous"/>
      <w:pgSz w:w="11906" w:h="16838"/>
      <w:pgMar w:top="2098" w:right="1588" w:bottom="2098" w:left="1588" w:header="851" w:footer="1355" w:gutter="0"/>
      <w:cols w:space="720"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0" w:firstLineChars="111"/>
      <w:jc w:val="right"/>
      <w:rPr>
        <w:sz w:val="28"/>
        <w:szCs w:val="28"/>
      </w:rPr>
    </w:pPr>
    <w:r>
      <w:rPr>
        <w:rStyle w:val="7"/>
        <w:rFonts w:hint="eastAsia"/>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ascii="宋体" w:hAnsi="宋体" w:eastAsia="宋体" w:cs="宋体"/>
        <w:sz w:val="28"/>
        <w:szCs w:val="28"/>
      </w:rPr>
      <w:t>3</w:t>
    </w:r>
    <w:r>
      <w:rPr>
        <w:rFonts w:hint="eastAsia" w:ascii="宋体" w:hAnsi="宋体" w:eastAsia="宋体" w:cs="宋体"/>
        <w:sz w:val="28"/>
        <w:szCs w:val="28"/>
      </w:rPr>
      <w:fldChar w:fldCharType="end"/>
    </w:r>
    <w:r>
      <w:rPr>
        <w:rStyle w:val="7"/>
        <w:rFonts w:hint="eastAsia"/>
        <w:sz w:val="28"/>
        <w:szCs w:val="28"/>
      </w:rPr>
      <w:t xml:space="preserve"> —</w:t>
    </w:r>
  </w:p>
  <w:p>
    <w:pPr>
      <w:pStyle w:val="2"/>
      <w:ind w:firstLine="360"/>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98" w:firstLineChars="71"/>
      <w:rPr>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6</w:t>
    </w:r>
    <w:r>
      <w:rPr>
        <w:sz w:val="28"/>
        <w:szCs w:val="28"/>
      </w:rPr>
      <w:fldChar w:fldCharType="end"/>
    </w:r>
    <w:r>
      <w:rPr>
        <w:rStyle w:val="7"/>
        <w:rFonts w:hint="eastAsia"/>
        <w:sz w:val="28"/>
        <w:szCs w:val="28"/>
      </w:rPr>
      <w:t xml:space="preserve"> —</w:t>
    </w:r>
  </w:p>
  <w:p>
    <w:pPr>
      <w:pStyle w:val="2"/>
      <w:ind w:firstLine="360"/>
      <w:rPr>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0" w:firstLineChars="111"/>
      <w:jc w:val="right"/>
      <w:rPr>
        <w:rFonts w:hint="eastAsia" w:ascii="宋体" w:hAnsi="宋体" w:eastAsia="宋体" w:cs="宋体"/>
        <w:sz w:val="28"/>
        <w:szCs w:val="28"/>
      </w:rPr>
    </w:pPr>
    <w:r>
      <w:rPr>
        <w:rStyle w:val="7"/>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ascii="宋体" w:hAnsi="宋体" w:eastAsia="宋体" w:cs="宋体"/>
        <w:sz w:val="28"/>
        <w:szCs w:val="28"/>
      </w:rPr>
      <w:t>11</w:t>
    </w:r>
    <w:r>
      <w:rPr>
        <w:rFonts w:hint="eastAsia" w:ascii="宋体" w:hAnsi="宋体" w:eastAsia="宋体" w:cs="宋体"/>
        <w:sz w:val="28"/>
        <w:szCs w:val="28"/>
      </w:rPr>
      <w:fldChar w:fldCharType="end"/>
    </w:r>
    <w:r>
      <w:rPr>
        <w:rStyle w:val="7"/>
        <w:rFonts w:hint="eastAsia" w:ascii="宋体" w:hAnsi="宋体" w:eastAsia="宋体" w:cs="宋体"/>
        <w:sz w:val="28"/>
        <w:szCs w:val="28"/>
      </w:rPr>
      <w:t xml:space="preserve"> —</w:t>
    </w:r>
  </w:p>
  <w:p>
    <w:pPr>
      <w:pStyle w:val="2"/>
      <w:ind w:firstLine="360"/>
      <w:rPr>
        <w:rFonts w:hint="eastAsia"/>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98" w:firstLineChars="71"/>
      <w:rPr>
        <w:rFonts w:hint="eastAsia" w:ascii="宋体" w:hAnsi="宋体" w:eastAsia="宋体" w:cs="宋体"/>
        <w:sz w:val="28"/>
        <w:szCs w:val="28"/>
      </w:rPr>
    </w:pPr>
    <w:r>
      <w:rPr>
        <w:rStyle w:val="7"/>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ascii="宋体" w:hAnsi="宋体" w:eastAsia="宋体" w:cs="宋体"/>
        <w:sz w:val="28"/>
        <w:szCs w:val="28"/>
      </w:rPr>
      <w:t>12</w:t>
    </w:r>
    <w:r>
      <w:rPr>
        <w:rFonts w:hint="eastAsia" w:ascii="宋体" w:hAnsi="宋体" w:eastAsia="宋体" w:cs="宋体"/>
        <w:sz w:val="28"/>
        <w:szCs w:val="28"/>
      </w:rPr>
      <w:fldChar w:fldCharType="end"/>
    </w:r>
    <w:r>
      <w:rPr>
        <w:rStyle w:val="7"/>
        <w:rFonts w:hint="eastAsia" w:ascii="宋体" w:hAnsi="宋体" w:eastAsia="宋体" w:cs="宋体"/>
        <w:sz w:val="28"/>
        <w:szCs w:val="28"/>
      </w:rPr>
      <w:t xml:space="preserve"> —</w:t>
    </w:r>
  </w:p>
  <w:p>
    <w:pPr>
      <w:pStyle w:val="2"/>
      <w:ind w:firstLine="360"/>
      <w:rPr>
        <w:rFonts w:hint="eastAsia"/>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88827"/>
    <w:multiLevelType w:val="singleLevel"/>
    <w:tmpl w:val="40A88827"/>
    <w:lvl w:ilvl="0" w:tentative="0">
      <w:start w:val="1"/>
      <w:numFmt w:val="chineseCounting"/>
      <w:suff w:val="nothing"/>
      <w:lvlText w:val="（%1）"/>
      <w:lvlJc w:val="left"/>
      <w:rPr>
        <w:rFonts w:hint="eastAsia"/>
      </w:rPr>
    </w:lvl>
  </w:abstractNum>
  <w:abstractNum w:abstractNumId="1">
    <w:nsid w:val="5B726AC7"/>
    <w:multiLevelType w:val="multilevel"/>
    <w:tmpl w:val="5B726AC7"/>
    <w:lvl w:ilvl="0" w:tentative="0">
      <w:start w:val="1"/>
      <w:numFmt w:val="chineseCounting"/>
      <w:suff w:val="nothing"/>
      <w:lvlText w:val="第%1条　"/>
      <w:lvlJc w:val="left"/>
      <w:pPr>
        <w:tabs>
          <w:tab w:val="left" w:pos="0"/>
        </w:tabs>
        <w:ind w:left="0" w:firstLine="402"/>
      </w:pPr>
      <w:rPr>
        <w:rFonts w:hint="eastAsia" w:ascii="宋体" w:hAnsi="宋体" w:eastAsia="仿宋_GB2312" w:cs="宋体"/>
        <w:b/>
        <w:lang w:val="en-US"/>
      </w:rPr>
    </w:lvl>
    <w:lvl w:ilvl="1" w:tentative="0">
      <w:start w:val="1"/>
      <w:numFmt w:val="none"/>
      <w:suff w:val="nothing"/>
      <w:lvlText w:val=""/>
      <w:lvlJc w:val="left"/>
      <w:pPr>
        <w:ind w:left="0" w:firstLine="402"/>
      </w:pPr>
      <w:rPr>
        <w:rFonts w:hint="eastAsia" w:ascii="宋体" w:hAnsi="宋体" w:eastAsia="宋体" w:cs="宋体"/>
      </w:rPr>
    </w:lvl>
    <w:lvl w:ilvl="2" w:tentative="0">
      <w:start w:val="1"/>
      <w:numFmt w:val="none"/>
      <w:suff w:val="nothing"/>
      <w:lvlText w:val=""/>
      <w:lvlJc w:val="left"/>
      <w:pPr>
        <w:ind w:left="0" w:firstLine="402"/>
      </w:pPr>
      <w:rPr>
        <w:rFonts w:hint="eastAsia" w:ascii="宋体" w:hAnsi="宋体" w:eastAsia="宋体" w:cs="宋体"/>
      </w:rPr>
    </w:lvl>
    <w:lvl w:ilvl="3" w:tentative="0">
      <w:start w:val="1"/>
      <w:numFmt w:val="none"/>
      <w:suff w:val="nothing"/>
      <w:lvlText w:val=""/>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
    <w:nsid w:val="6DA9CB24"/>
    <w:multiLevelType w:val="singleLevel"/>
    <w:tmpl w:val="6DA9CB24"/>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A2180"/>
    <w:rsid w:val="72FA2180"/>
    <w:rsid w:val="7EAE7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仿宋_GB2312" w:cs="Times New Roman"/>
      <w:kern w:val="2"/>
      <w:sz w:val="32"/>
      <w:szCs w:val="24"/>
      <w:lang w:val="en-US" w:eastAsia="zh-CN" w:bidi="ar-SA"/>
    </w:rPr>
  </w:style>
  <w:style w:type="character" w:default="1" w:styleId="5">
    <w:name w:val="Default Paragraph Font"/>
    <w:link w:val="6"/>
    <w:semiHidden/>
    <w:uiPriority w:val="0"/>
    <w:rPr>
      <w:rFonts w:ascii="Verdana" w:hAnsi="Verdana"/>
      <w:kern w:val="0"/>
      <w:sz w:val="24"/>
      <w:szCs w:val="20"/>
      <w:lang w:eastAsia="en-US"/>
    </w:rPr>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jc w:val="center"/>
    </w:pPr>
    <w:rPr>
      <w:sz w:val="18"/>
      <w:szCs w:val="18"/>
    </w:rPr>
  </w:style>
  <w:style w:type="paragraph" w:customStyle="1" w:styleId="6">
    <w:name w:val="Char Char Char Char Char Char Char Char Char Char Char Char Char Char Char Char Char Char Char Char Char Char Char Char Char"/>
    <w:basedOn w:val="1"/>
    <w:link w:val="5"/>
    <w:uiPriority w:val="0"/>
    <w:pPr>
      <w:widowControl/>
      <w:spacing w:after="160" w:line="240" w:lineRule="exact"/>
      <w:ind w:firstLine="0" w:firstLineChars="0"/>
      <w:jc w:val="left"/>
    </w:pPr>
    <w:rPr>
      <w:rFonts w:ascii="Verdana" w:hAnsi="Verdana"/>
      <w:kern w:val="0"/>
      <w:sz w:val="24"/>
      <w:szCs w:val="20"/>
      <w:lang w:eastAsia="en-US"/>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2020-07-03T08:03:00Z</dcterms:created>
  <dc:creator>CHIna</dc:creator>
  <cp:lastModifiedBy>CHIna</cp:lastModifiedBy>
  <dcterms:modified xsi:type="dcterms:W3CDTF">2020-07-03T08:06:13Z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